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C2B6" w14:textId="77777777" w:rsidR="00020BCB" w:rsidRPr="0099629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99629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996292">
        <w:rPr>
          <w:b w:val="0"/>
          <w:color w:val="000000"/>
          <w:sz w:val="16"/>
          <w:szCs w:val="16"/>
        </w:rPr>
        <w:t>1</w:t>
      </w:r>
    </w:p>
    <w:p w14:paraId="2894A366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694D58D8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75639AC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21EF683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01FA0E7E" w14:textId="240CA358" w:rsidR="004263EB" w:rsidRDefault="00AD3633" w:rsidP="00DC6C96">
      <w:pPr>
        <w:pStyle w:val="3"/>
        <w:jc w:val="left"/>
        <w:rPr>
          <w:b w:val="0"/>
          <w:sz w:val="15"/>
          <w:lang w:val="uk-UA"/>
        </w:rPr>
      </w:pPr>
      <w:r w:rsidRPr="00996292">
        <w:rPr>
          <w:b w:val="0"/>
          <w:sz w:val="20"/>
          <w:szCs w:val="20"/>
          <w:u w:val="single"/>
        </w:rPr>
        <w:t>23.04.2021</w:t>
      </w:r>
    </w:p>
    <w:p w14:paraId="710AB164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2443D52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EF1443C" w14:textId="0DC49332" w:rsidR="007E37D1" w:rsidRPr="0099629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996292">
        <w:rPr>
          <w:b w:val="0"/>
          <w:sz w:val="20"/>
          <w:szCs w:val="20"/>
        </w:rPr>
        <w:t xml:space="preserve"> </w:t>
      </w:r>
      <w:r w:rsidR="00AD3633" w:rsidRPr="00996292">
        <w:rPr>
          <w:b w:val="0"/>
          <w:sz w:val="20"/>
          <w:szCs w:val="20"/>
          <w:u w:val="single"/>
        </w:rPr>
        <w:t>б/н</w:t>
      </w:r>
    </w:p>
    <w:p w14:paraId="18D39CA6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092D4089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996292" w14:paraId="3F6A6BD0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16C09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0B6DC88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0FE40D75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742AC" w14:textId="345B2FBF" w:rsidR="00DC6C96" w:rsidRPr="00DF42E6" w:rsidRDefault="00AD363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57E4E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B2432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84BE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C5EB63" w14:textId="1B9BCA75" w:rsidR="00DC6C96" w:rsidRPr="00DF42E6" w:rsidRDefault="00AD363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Сисенко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Ігор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</w:tr>
      <w:tr w:rsidR="00DC6C96" w14:paraId="13400B50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508D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0D09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ED1F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A226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5FD3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09E32C18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EB7DC" w14:textId="77777777" w:rsidR="00C86AFD" w:rsidRPr="0099629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38E02473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B1F3FCD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2230D288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F8652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202DDE2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95D9C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7058F7F8" w14:textId="5B186432" w:rsidR="00DC6C96" w:rsidRPr="00996292" w:rsidRDefault="00AD3633" w:rsidP="00DC6C96">
            <w:pPr>
              <w:rPr>
                <w:sz w:val="20"/>
                <w:szCs w:val="20"/>
              </w:rPr>
            </w:pPr>
            <w:r w:rsidRPr="00996292">
              <w:rPr>
                <w:sz w:val="20"/>
                <w:szCs w:val="20"/>
              </w:rPr>
              <w:t>ПРИВАТНЕ АКЦІОНЕРНЕ ТОВАРИСТВО "ЗМІЇВСЬКА ОВОЧЕВА ФАБРИКА"</w:t>
            </w:r>
          </w:p>
        </w:tc>
      </w:tr>
      <w:tr w:rsidR="00DC6C96" w14:paraId="268852D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15292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1FB965EF" w14:textId="1E470853" w:rsidR="00DC6C96" w:rsidRPr="00DF42E6" w:rsidRDefault="00AD3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1E64DDF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E29B0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23F23841" w14:textId="3326444F" w:rsidR="00D42FB5" w:rsidRPr="00996292" w:rsidRDefault="00AD3633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63460 селище міського типу </w:t>
            </w:r>
            <w:proofErr w:type="spellStart"/>
            <w:r>
              <w:rPr>
                <w:sz w:val="20"/>
                <w:szCs w:val="20"/>
                <w:lang w:val="uk-UA"/>
              </w:rPr>
              <w:t>Cлобожанське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Балаклійське шосе, 17-А</w:t>
            </w:r>
          </w:p>
        </w:tc>
      </w:tr>
      <w:tr w:rsidR="00DC6C96" w14:paraId="155F89A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544F3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552D26D" w14:textId="610E4427" w:rsidR="00DC6C96" w:rsidRPr="00DF42E6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31834736</w:t>
            </w:r>
          </w:p>
        </w:tc>
      </w:tr>
      <w:tr w:rsidR="00DC6C96" w14:paraId="779DC69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F736E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706BEE31" w14:textId="40ACE87F" w:rsidR="00DC6C96" w:rsidRPr="00DF42E6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0574753335 0574753335</w:t>
            </w:r>
          </w:p>
        </w:tc>
      </w:tr>
      <w:tr w:rsidR="00DC6C96" w14:paraId="0585E57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83AD6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5456158F" w14:textId="3939E1DB" w:rsidR="00DC6C96" w:rsidRPr="00DF42E6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tmzof@ukr.net</w:t>
            </w:r>
          </w:p>
        </w:tc>
      </w:tr>
      <w:tr w:rsidR="00531337" w14:paraId="5508CEB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1E4BE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9B742E3" w14:textId="77777777" w:rsidR="00AD3633" w:rsidRPr="00996292" w:rsidRDefault="00AD3633" w:rsidP="00DC6C96">
            <w:pPr>
              <w:rPr>
                <w:sz w:val="20"/>
                <w:szCs w:val="20"/>
              </w:rPr>
            </w:pPr>
            <w:r w:rsidRPr="0099629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16772AA3" w14:textId="77777777" w:rsidR="00AD3633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702398E1" w14:textId="77777777" w:rsidR="00AD3633" w:rsidRDefault="00AD3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3571424A" w14:textId="20ACF5A3" w:rsidR="00531337" w:rsidRPr="009A60E3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47B82D6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E7D3F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D936C9D" w14:textId="77777777" w:rsidR="00AD3633" w:rsidRPr="00996292" w:rsidRDefault="00AD3633" w:rsidP="00DC6C96">
            <w:pPr>
              <w:rPr>
                <w:sz w:val="20"/>
                <w:szCs w:val="20"/>
              </w:rPr>
            </w:pPr>
            <w:r w:rsidRPr="0099629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6975C760" w14:textId="77777777" w:rsidR="00AD3633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B6A315B" w14:textId="77777777" w:rsidR="00AD3633" w:rsidRDefault="00AD3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5147BA05" w14:textId="73F45270" w:rsidR="00C86AFD" w:rsidRPr="00C86AFD" w:rsidRDefault="00AD3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60555F44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7FB1BABA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46348A8C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68B3E457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23749E82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4BC262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D0F34" w14:textId="46BB8FBB" w:rsidR="001714DF" w:rsidRPr="00DF42E6" w:rsidRDefault="00AD363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996292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tmzof</w:t>
            </w:r>
            <w:r w:rsidRPr="009962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9962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9962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9962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9962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  <w:r w:rsidRPr="00996292">
              <w:rPr>
                <w:sz w:val="20"/>
                <w:szCs w:val="20"/>
              </w:rPr>
              <w:t>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D236C" w14:textId="3F1BAEC5" w:rsidR="001714DF" w:rsidRPr="00DF42E6" w:rsidRDefault="00AD363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14:paraId="1A74A483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1A483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4113C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2BA07922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3DDE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17F2019D" w14:textId="77777777" w:rsidR="00BA77DA" w:rsidRDefault="00BA77DA" w:rsidP="00C86AFD">
      <w:pPr>
        <w:rPr>
          <w:lang w:val="en-US"/>
        </w:rPr>
        <w:sectPr w:rsidR="00BA77DA" w:rsidSect="00AD363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3A349C88" w14:textId="77777777" w:rsidR="00BA77DA" w:rsidRDefault="00BA77DA" w:rsidP="00BA77D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0F65E59A" w14:textId="77777777" w:rsidR="00BA77DA" w:rsidRPr="0090056A" w:rsidRDefault="00BA77DA" w:rsidP="00BA77D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5325F067" w14:textId="77777777" w:rsidR="00BA77DA" w:rsidRPr="00171381" w:rsidRDefault="00BA77DA" w:rsidP="00BA77DA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567"/>
        <w:gridCol w:w="1719"/>
        <w:gridCol w:w="1907"/>
        <w:gridCol w:w="3165"/>
      </w:tblGrid>
      <w:tr w:rsidR="00BA77DA" w:rsidRPr="00335999" w14:paraId="136B4A3C" w14:textId="77777777" w:rsidTr="008E0886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6BE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360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02B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E20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DC9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59685AAB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BA77DA" w:rsidRPr="00335999" w14:paraId="408F71AC" w14:textId="77777777" w:rsidTr="008E0886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9CB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AD9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952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D9C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5F3" w14:textId="77777777" w:rsidR="00BA77DA" w:rsidRPr="0033599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BA77DA" w:rsidRPr="00A75C29" w14:paraId="2BD95112" w14:textId="77777777" w:rsidTr="008E0886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785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076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8BDD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4B37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331291.000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6415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150.92472000000</w:t>
            </w:r>
          </w:p>
        </w:tc>
      </w:tr>
      <w:tr w:rsidR="00BA77DA" w:rsidRPr="00A75C29" w14:paraId="0BD17198" w14:textId="77777777" w:rsidTr="008E088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F867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BA77DA" w:rsidRPr="00A75C29" w14:paraId="1766EEA2" w14:textId="77777777" w:rsidTr="008E088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9674" w14:textId="77777777" w:rsidR="00BA77DA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22.04.2021</w:t>
            </w:r>
          </w:p>
          <w:p w14:paraId="743BCFDB" w14:textId="77777777" w:rsidR="00BA77DA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500 000 (тис.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5A1FE2B" w14:textId="77777777" w:rsidR="00BA77DA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: 331 291 (тис. </w:t>
            </w:r>
            <w:proofErr w:type="spellStart"/>
            <w:r>
              <w:rPr>
                <w:sz w:val="20"/>
                <w:szCs w:val="20"/>
              </w:rPr>
              <w:t>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2A089F8" w14:textId="77777777" w:rsidR="00BA77DA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>: 150.92%</w:t>
            </w:r>
          </w:p>
          <w:p w14:paraId="03D9BA7A" w14:textId="77777777" w:rsidR="00BA77DA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2D38375" w14:textId="77777777" w:rsidR="00BA77DA" w:rsidRPr="00A75C29" w:rsidRDefault="00BA77DA" w:rsidP="008E088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Згiдно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вiд</w:t>
            </w:r>
            <w:proofErr w:type="spellEnd"/>
            <w:r>
              <w:rPr>
                <w:sz w:val="20"/>
                <w:szCs w:val="20"/>
              </w:rPr>
              <w:t xml:space="preserve"> 22.04.2021 року, </w:t>
            </w:r>
            <w:proofErr w:type="spellStart"/>
            <w:r>
              <w:rPr>
                <w:sz w:val="20"/>
                <w:szCs w:val="20"/>
              </w:rPr>
              <w:t>оформленого</w:t>
            </w:r>
            <w:proofErr w:type="spellEnd"/>
            <w:r>
              <w:rPr>
                <w:sz w:val="20"/>
                <w:szCs w:val="20"/>
              </w:rPr>
              <w:t xml:space="preserve"> Протоколом № 1/21 </w:t>
            </w:r>
            <w:proofErr w:type="spellStart"/>
            <w:r>
              <w:rPr>
                <w:sz w:val="20"/>
                <w:szCs w:val="20"/>
              </w:rPr>
              <w:t>вiд</w:t>
            </w:r>
            <w:proofErr w:type="spellEnd"/>
            <w:r>
              <w:rPr>
                <w:sz w:val="20"/>
                <w:szCs w:val="20"/>
              </w:rPr>
              <w:t xml:space="preserve"> 22.04.2021 року, </w:t>
            </w:r>
            <w:proofErr w:type="spellStart"/>
            <w:r>
              <w:rPr>
                <w:sz w:val="20"/>
                <w:szCs w:val="20"/>
              </w:rPr>
              <w:t>прийнято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згоду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рішень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віднесено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компетенції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ході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фінансово-господарської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саме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укладення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встановлення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грошових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зобов’язань</w:t>
            </w:r>
            <w:proofErr w:type="spellEnd"/>
            <w:r>
              <w:rPr>
                <w:sz w:val="20"/>
                <w:szCs w:val="20"/>
              </w:rPr>
              <w:t xml:space="preserve"> особи перед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кожного договору (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) до 500 млн. грн. при </w:t>
            </w:r>
            <w:proofErr w:type="spellStart"/>
            <w:r>
              <w:rPr>
                <w:sz w:val="20"/>
                <w:szCs w:val="20"/>
              </w:rPr>
              <w:t>обов’язковому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погодженні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Наглядовою</w:t>
            </w:r>
            <w:proofErr w:type="spellEnd"/>
            <w:r>
              <w:rPr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встановлення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грошових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зобов’язань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перед особою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кожного договору (</w:t>
            </w:r>
            <w:proofErr w:type="spellStart"/>
            <w:r>
              <w:rPr>
                <w:sz w:val="20"/>
                <w:szCs w:val="20"/>
              </w:rPr>
              <w:t>правочину</w:t>
            </w:r>
            <w:proofErr w:type="spellEnd"/>
            <w:r>
              <w:rPr>
                <w:sz w:val="20"/>
                <w:szCs w:val="20"/>
              </w:rPr>
              <w:t xml:space="preserve">) до 500 млн. грн., при </w:t>
            </w:r>
            <w:proofErr w:type="spellStart"/>
            <w:r>
              <w:rPr>
                <w:sz w:val="20"/>
                <w:szCs w:val="20"/>
              </w:rPr>
              <w:t>обов’язковому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погодженні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Наглядовою</w:t>
            </w:r>
            <w:proofErr w:type="spellEnd"/>
            <w:r>
              <w:rPr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Уповноважити</w:t>
            </w:r>
            <w:proofErr w:type="spellEnd"/>
            <w:r>
              <w:rPr>
                <w:sz w:val="20"/>
                <w:szCs w:val="20"/>
              </w:rPr>
              <w:t xml:space="preserve"> Генерального директора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особу, яка </w:t>
            </w:r>
            <w:proofErr w:type="spellStart"/>
            <w:r>
              <w:rPr>
                <w:sz w:val="20"/>
                <w:szCs w:val="20"/>
              </w:rPr>
              <w:t>виконує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обов’язки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разі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тимчасової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відсутності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іншу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особу,  кандидатура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якої</w:t>
            </w:r>
            <w:proofErr w:type="spellEnd"/>
            <w:r>
              <w:rPr>
                <w:sz w:val="20"/>
                <w:szCs w:val="20"/>
              </w:rPr>
              <w:t xml:space="preserve"> буде </w:t>
            </w:r>
            <w:proofErr w:type="spellStart"/>
            <w:r>
              <w:rPr>
                <w:sz w:val="20"/>
                <w:szCs w:val="20"/>
              </w:rPr>
              <w:t>погоджена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Наглядовою</w:t>
            </w:r>
            <w:proofErr w:type="spellEnd"/>
            <w:r>
              <w:rPr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) на </w:t>
            </w:r>
            <w:proofErr w:type="spellStart"/>
            <w:r>
              <w:rPr>
                <w:sz w:val="20"/>
                <w:szCs w:val="20"/>
              </w:rPr>
              <w:t>підписання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встановленої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Вартiсть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- 331 291 тис. грн. </w:t>
            </w:r>
            <w:proofErr w:type="spellStart"/>
            <w:r>
              <w:rPr>
                <w:sz w:val="20"/>
                <w:szCs w:val="20"/>
              </w:rPr>
              <w:t>Спiввiдношення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активiв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фiнансової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звiтностi</w:t>
            </w:r>
            <w:proofErr w:type="spellEnd"/>
            <w:r>
              <w:rPr>
                <w:sz w:val="20"/>
                <w:szCs w:val="20"/>
              </w:rPr>
              <w:t xml:space="preserve"> – 150,92%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 – 43 358 576 шт.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зареєстрованi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участi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- 43 337 921 шт. </w:t>
            </w:r>
            <w:proofErr w:type="spellStart"/>
            <w:r>
              <w:rPr>
                <w:sz w:val="20"/>
                <w:szCs w:val="20"/>
              </w:rPr>
              <w:t>Кiлькiсть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акцiй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- 43 337 921 шт.;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" 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рiшення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14:paraId="62DD6922" w14:textId="77777777" w:rsidR="00BA77DA" w:rsidRPr="00996292" w:rsidRDefault="00BA77DA" w:rsidP="00BA77DA"/>
    <w:p w14:paraId="07D7F4E8" w14:textId="5A9EC4D5" w:rsidR="003C4C1A" w:rsidRPr="00996292" w:rsidRDefault="003C4C1A" w:rsidP="00C86AFD"/>
    <w:sectPr w:rsidR="003C4C1A" w:rsidRPr="00996292" w:rsidSect="00BA77D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33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96292"/>
    <w:rsid w:val="009A60E3"/>
    <w:rsid w:val="009F2C05"/>
    <w:rsid w:val="00A372E3"/>
    <w:rsid w:val="00AD3633"/>
    <w:rsid w:val="00B71BC8"/>
    <w:rsid w:val="00BA77DA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9072F3"/>
  <w15:chartTrackingRefBased/>
  <w15:docId w15:val="{27A44A6C-5CD9-45DC-AD3F-4F21390B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FT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1</Pages>
  <Words>3404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Калюжний Денис В'ячеславович</dc:creator>
  <cp:keywords/>
  <dc:description/>
  <cp:lastModifiedBy>Калюжний Денис В'ячеславович</cp:lastModifiedBy>
  <cp:revision>3</cp:revision>
  <cp:lastPrinted>2013-07-11T13:29:00Z</cp:lastPrinted>
  <dcterms:created xsi:type="dcterms:W3CDTF">2021-04-23T12:53:00Z</dcterms:created>
  <dcterms:modified xsi:type="dcterms:W3CDTF">2021-04-23T12:53:00Z</dcterms:modified>
</cp:coreProperties>
</file>